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Ind w:w="-147" w:type="dxa"/>
        <w:tblLook w:val="01E0" w:firstRow="1" w:lastRow="1" w:firstColumn="1" w:lastColumn="1" w:noHBand="0" w:noVBand="0"/>
      </w:tblPr>
      <w:tblGrid>
        <w:gridCol w:w="3828"/>
        <w:gridCol w:w="5665"/>
      </w:tblGrid>
      <w:tr w:rsidR="000933C2" w:rsidRPr="00A8775E" w:rsidTr="000933C2">
        <w:trPr>
          <w:trHeight w:val="286"/>
        </w:trPr>
        <w:tc>
          <w:tcPr>
            <w:tcW w:w="3828" w:type="dxa"/>
            <w:shd w:val="clear" w:color="auto" w:fill="auto"/>
          </w:tcPr>
          <w:p w:rsidR="000933C2" w:rsidRPr="00A8775E" w:rsidRDefault="000933C2" w:rsidP="000666B9">
            <w:pPr>
              <w:spacing w:after="0" w:line="240" w:lineRule="auto"/>
              <w:jc w:val="center"/>
              <w:rPr>
                <w:sz w:val="24"/>
              </w:rPr>
            </w:pPr>
            <w:r w:rsidRPr="00A8775E">
              <w:rPr>
                <w:sz w:val="24"/>
              </w:rPr>
              <w:t xml:space="preserve">UBND TỈNH </w:t>
            </w:r>
            <w:r>
              <w:rPr>
                <w:sz w:val="24"/>
              </w:rPr>
              <w:t>TÂY NINH</w:t>
            </w:r>
          </w:p>
        </w:tc>
        <w:tc>
          <w:tcPr>
            <w:tcW w:w="5665" w:type="dxa"/>
            <w:shd w:val="clear" w:color="auto" w:fill="auto"/>
          </w:tcPr>
          <w:p w:rsidR="000933C2" w:rsidRPr="003A1AC1" w:rsidRDefault="000933C2" w:rsidP="00973BC6">
            <w:pPr>
              <w:spacing w:after="0" w:line="240" w:lineRule="auto"/>
              <w:rPr>
                <w:b/>
                <w:sz w:val="26"/>
              </w:rPr>
            </w:pPr>
            <w:r w:rsidRPr="003A1AC1">
              <w:rPr>
                <w:b/>
                <w:sz w:val="26"/>
              </w:rPr>
              <w:t>CỘNG HÒA XÃ HỘI CHỦ NGHĨA VIỆT NAM</w:t>
            </w:r>
          </w:p>
        </w:tc>
      </w:tr>
      <w:tr w:rsidR="000933C2" w:rsidRPr="00A8775E" w:rsidTr="000933C2">
        <w:trPr>
          <w:trHeight w:val="454"/>
        </w:trPr>
        <w:tc>
          <w:tcPr>
            <w:tcW w:w="3828" w:type="dxa"/>
            <w:shd w:val="clear" w:color="auto" w:fill="auto"/>
          </w:tcPr>
          <w:p w:rsidR="000933C2" w:rsidRPr="00A8775E" w:rsidRDefault="000933C2" w:rsidP="00973BC6">
            <w:pPr>
              <w:spacing w:after="0" w:line="240" w:lineRule="auto"/>
              <w:jc w:val="center"/>
              <w:rPr>
                <w:b/>
                <w:sz w:val="24"/>
              </w:rPr>
            </w:pPr>
            <w:r w:rsidRPr="00A8775E">
              <w:rPr>
                <w:b/>
                <w:noProof/>
                <w:sz w:val="24"/>
              </w:rPr>
              <mc:AlternateContent>
                <mc:Choice Requires="wps">
                  <w:drawing>
                    <wp:anchor distT="0" distB="0" distL="114300" distR="114300" simplePos="0" relativeHeight="251659264" behindDoc="0" locked="0" layoutInCell="1" allowOverlap="1" wp14:anchorId="52E8BF2B" wp14:editId="45FAA877">
                      <wp:simplePos x="0" y="0"/>
                      <wp:positionH relativeFrom="column">
                        <wp:posOffset>578513</wp:posOffset>
                      </wp:positionH>
                      <wp:positionV relativeFrom="paragraph">
                        <wp:posOffset>214050</wp:posOffset>
                      </wp:positionV>
                      <wp:extent cx="1113182"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11131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0B2C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16.85pt" to="133.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" strokecolor="black [3213]" strokeweight=".5pt">
                      <v:stroke joinstyle="miter"/>
                    </v:line>
                  </w:pict>
                </mc:Fallback>
              </mc:AlternateContent>
            </w:r>
            <w:r w:rsidRPr="00A8775E">
              <w:rPr>
                <w:b/>
                <w:sz w:val="24"/>
              </w:rPr>
              <w:t>SỞ GIÁO DỤC VÀ ĐÀO TẠO</w:t>
            </w:r>
          </w:p>
        </w:tc>
        <w:tc>
          <w:tcPr>
            <w:tcW w:w="5665" w:type="dxa"/>
            <w:shd w:val="clear" w:color="auto" w:fill="auto"/>
          </w:tcPr>
          <w:p w:rsidR="000933C2" w:rsidRPr="00A8775E" w:rsidRDefault="000933C2" w:rsidP="00973BC6">
            <w:pPr>
              <w:spacing w:after="0" w:line="240" w:lineRule="auto"/>
              <w:jc w:val="center"/>
              <w:rPr>
                <w:b/>
                <w:sz w:val="24"/>
              </w:rPr>
            </w:pPr>
            <w:r w:rsidRPr="003A1AC1">
              <w:rPr>
                <w:b/>
                <w:noProof/>
              </w:rPr>
              <mc:AlternateContent>
                <mc:Choice Requires="wps">
                  <w:drawing>
                    <wp:anchor distT="0" distB="0" distL="114300" distR="114300" simplePos="0" relativeHeight="251660288" behindDoc="0" locked="0" layoutInCell="1" allowOverlap="1" wp14:anchorId="4C003461" wp14:editId="3EE65D1B">
                      <wp:simplePos x="0" y="0"/>
                      <wp:positionH relativeFrom="column">
                        <wp:posOffset>637401</wp:posOffset>
                      </wp:positionH>
                      <wp:positionV relativeFrom="paragraph">
                        <wp:posOffset>235033</wp:posOffset>
                      </wp:positionV>
                      <wp:extent cx="2170099" cy="0"/>
                      <wp:effectExtent l="0" t="0" r="20955" b="19050"/>
                      <wp:wrapNone/>
                      <wp:docPr id="4" name="Straight Connector 4"/>
                      <wp:cNvGraphicFramePr/>
                      <a:graphic xmlns:a="http://schemas.openxmlformats.org/drawingml/2006/main">
                        <a:graphicData uri="http://schemas.microsoft.com/office/word/2010/wordprocessingShape">
                          <wps:wsp>
                            <wps:cNvCnPr/>
                            <wps:spPr>
                              <a:xfrm flipV="1">
                                <a:off x="0" y="0"/>
                                <a:ext cx="21700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4DEF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18.5pt" to="22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" strokecolor="black [3213]" strokeweight=".5pt">
                      <v:stroke joinstyle="miter"/>
                    </v:line>
                  </w:pict>
                </mc:Fallback>
              </mc:AlternateContent>
            </w:r>
            <w:r w:rsidRPr="003A1AC1">
              <w:rPr>
                <w:b/>
              </w:rPr>
              <w:t>Độc lập – Tự do – Hạnh phúc</w:t>
            </w:r>
          </w:p>
        </w:tc>
      </w:tr>
      <w:tr w:rsidR="000933C2" w:rsidRPr="008D774E" w:rsidTr="000933C2">
        <w:trPr>
          <w:trHeight w:val="283"/>
        </w:trPr>
        <w:tc>
          <w:tcPr>
            <w:tcW w:w="3828" w:type="dxa"/>
            <w:shd w:val="clear" w:color="auto" w:fill="auto"/>
          </w:tcPr>
          <w:p w:rsidR="000933C2" w:rsidRPr="008D774E" w:rsidRDefault="000933C2" w:rsidP="000933C2">
            <w:pPr>
              <w:spacing w:after="0"/>
              <w:jc w:val="center"/>
              <w:rPr>
                <w:sz w:val="26"/>
                <w:szCs w:val="26"/>
              </w:rPr>
            </w:pPr>
            <w:r w:rsidRPr="008D774E">
              <w:rPr>
                <w:sz w:val="26"/>
                <w:szCs w:val="26"/>
              </w:rPr>
              <w:t xml:space="preserve">Số: </w:t>
            </w:r>
            <w:r>
              <w:rPr>
                <w:sz w:val="26"/>
                <w:szCs w:val="26"/>
              </w:rPr>
              <w:t xml:space="preserve">  </w:t>
            </w:r>
            <w:r w:rsidRPr="008D774E">
              <w:rPr>
                <w:sz w:val="26"/>
                <w:szCs w:val="26"/>
              </w:rPr>
              <w:t xml:space="preserve"> </w:t>
            </w:r>
            <w:r>
              <w:rPr>
                <w:sz w:val="26"/>
                <w:szCs w:val="26"/>
              </w:rPr>
              <w:t xml:space="preserve">    </w:t>
            </w:r>
            <w:r w:rsidRPr="008D774E">
              <w:rPr>
                <w:sz w:val="26"/>
                <w:szCs w:val="26"/>
              </w:rPr>
              <w:t xml:space="preserve">   /</w:t>
            </w:r>
            <w:r>
              <w:rPr>
                <w:sz w:val="26"/>
                <w:szCs w:val="26"/>
              </w:rPr>
              <w:t>BC-</w:t>
            </w:r>
            <w:r w:rsidRPr="008D774E">
              <w:rPr>
                <w:sz w:val="26"/>
                <w:szCs w:val="26"/>
              </w:rPr>
              <w:t>SGDĐT</w:t>
            </w:r>
          </w:p>
        </w:tc>
        <w:tc>
          <w:tcPr>
            <w:tcW w:w="5665" w:type="dxa"/>
            <w:shd w:val="clear" w:color="auto" w:fill="auto"/>
          </w:tcPr>
          <w:p w:rsidR="000933C2" w:rsidRPr="008D774E" w:rsidRDefault="000933C2" w:rsidP="008D3F0D">
            <w:pPr>
              <w:spacing w:after="0"/>
              <w:jc w:val="center"/>
              <w:rPr>
                <w:i/>
                <w:sz w:val="26"/>
                <w:szCs w:val="26"/>
              </w:rPr>
            </w:pPr>
            <w:r>
              <w:rPr>
                <w:i/>
                <w:sz w:val="26"/>
                <w:szCs w:val="26"/>
              </w:rPr>
              <w:t>Tây Ninh</w:t>
            </w:r>
            <w:r w:rsidRPr="008D774E">
              <w:rPr>
                <w:i/>
                <w:sz w:val="26"/>
                <w:szCs w:val="26"/>
              </w:rPr>
              <w:t>, ngày       tháng</w:t>
            </w:r>
            <w:r>
              <w:rPr>
                <w:i/>
                <w:sz w:val="26"/>
                <w:szCs w:val="26"/>
              </w:rPr>
              <w:t xml:space="preserve">     </w:t>
            </w:r>
            <w:r w:rsidRPr="008D774E">
              <w:rPr>
                <w:i/>
                <w:sz w:val="26"/>
                <w:szCs w:val="26"/>
              </w:rPr>
              <w:t xml:space="preserve"> năm 20</w:t>
            </w:r>
            <w:r>
              <w:rPr>
                <w:i/>
                <w:sz w:val="26"/>
                <w:szCs w:val="26"/>
              </w:rPr>
              <w:t>2</w:t>
            </w:r>
            <w:r w:rsidR="008D3F0D">
              <w:rPr>
                <w:i/>
                <w:sz w:val="26"/>
                <w:szCs w:val="26"/>
              </w:rPr>
              <w:t>6</w:t>
            </w:r>
          </w:p>
        </w:tc>
      </w:tr>
    </w:tbl>
    <w:p w:rsidR="000933C2" w:rsidRDefault="00F70D60">
      <w:r>
        <w:rPr>
          <w:noProof/>
          <w:sz w:val="26"/>
          <w:szCs w:val="26"/>
        </w:rPr>
        <mc:AlternateContent>
          <mc:Choice Requires="wps">
            <w:drawing>
              <wp:anchor distT="0" distB="0" distL="114300" distR="114300" simplePos="0" relativeHeight="251662336" behindDoc="0" locked="0" layoutInCell="1" allowOverlap="1" wp14:anchorId="16E07851" wp14:editId="3C746C34">
                <wp:simplePos x="0" y="0"/>
                <wp:positionH relativeFrom="column">
                  <wp:posOffset>570561</wp:posOffset>
                </wp:positionH>
                <wp:positionV relativeFrom="paragraph">
                  <wp:posOffset>27885</wp:posOffset>
                </wp:positionV>
                <wp:extent cx="1105232" cy="278295"/>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1105232" cy="278295"/>
                        </a:xfrm>
                        <a:prstGeom prst="rect">
                          <a:avLst/>
                        </a:prstGeom>
                        <a:solidFill>
                          <a:schemeClr val="lt1"/>
                        </a:solidFill>
                        <a:ln w="6350">
                          <a:solidFill>
                            <a:prstClr val="black"/>
                          </a:solidFill>
                        </a:ln>
                      </wps:spPr>
                      <wps:txbx>
                        <w:txbxContent>
                          <w:p w:rsidR="00F70D60" w:rsidRPr="00723F99" w:rsidRDefault="00F70D60" w:rsidP="00F70D60">
                            <w:pPr>
                              <w:jc w:val="center"/>
                              <w:rPr>
                                <w:sz w:val="26"/>
                                <w:szCs w:val="26"/>
                              </w:rPr>
                            </w:pPr>
                            <w:r w:rsidRPr="00723F99">
                              <w:rPr>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07851" id="_x0000_t202" coordsize="21600,21600" o:spt="202" path="m,l,21600r21600,l21600,xe">
                <v:stroke joinstyle="miter"/>
                <v:path gradientshapeok="t" o:connecttype="rect"/>
              </v:shapetype>
              <v:shape id="Text Box 1" o:spid="_x0000_s1026" type="#_x0000_t202" style="position:absolute;margin-left:44.95pt;margin-top:2.2pt;width:87.0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" fillcolor="white [3201]" strokeweight=".5pt">
                <v:textbox>
                  <w:txbxContent>
                    <w:p w:rsidR="00F70D60" w:rsidRPr="00723F99" w:rsidRDefault="00F70D60" w:rsidP="00F70D60">
                      <w:pPr>
                        <w:jc w:val="center"/>
                        <w:rPr>
                          <w:sz w:val="26"/>
                          <w:szCs w:val="26"/>
                        </w:rPr>
                      </w:pPr>
                      <w:r w:rsidRPr="00723F99">
                        <w:rPr>
                          <w:sz w:val="26"/>
                          <w:szCs w:val="26"/>
                        </w:rPr>
                        <w:t>DỰ THẢO</w:t>
                      </w:r>
                    </w:p>
                  </w:txbxContent>
                </v:textbox>
              </v:shape>
            </w:pict>
          </mc:Fallback>
        </mc:AlternateContent>
      </w:r>
    </w:p>
    <w:p w:rsidR="000933C2" w:rsidRPr="000933C2" w:rsidRDefault="000933C2" w:rsidP="000933C2">
      <w:pPr>
        <w:pStyle w:val="NoSpacing"/>
        <w:jc w:val="center"/>
        <w:rPr>
          <w:b/>
        </w:rPr>
      </w:pPr>
      <w:r w:rsidRPr="000933C2">
        <w:rPr>
          <w:b/>
        </w:rPr>
        <w:t>BÁO CÁO</w:t>
      </w:r>
    </w:p>
    <w:p w:rsidR="000933C2" w:rsidRPr="000933C2" w:rsidRDefault="000933C2" w:rsidP="000933C2">
      <w:pPr>
        <w:pStyle w:val="NoSpacing"/>
        <w:jc w:val="center"/>
        <w:rPr>
          <w:b/>
        </w:rPr>
      </w:pPr>
      <w:r w:rsidRPr="000933C2">
        <w:rPr>
          <w:b/>
        </w:rPr>
        <w:t>Đánh giá thực trạng quan hệ xã hội liên quan đến dự thảo Quyết định quy định về dạy thêm, học thêm trên địa bàn tỉnh Tây Ninh</w:t>
      </w:r>
    </w:p>
    <w:p w:rsidR="000933C2" w:rsidRDefault="00BB0D66" w:rsidP="000933C2">
      <w:pPr>
        <w:pStyle w:val="NoSpacing"/>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2356126</wp:posOffset>
                </wp:positionH>
                <wp:positionV relativeFrom="paragraph">
                  <wp:posOffset>62230</wp:posOffset>
                </wp:positionV>
                <wp:extent cx="1232453"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324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D9E8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5pt,4.9pt" to="282.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irtQEAALcDAAAOAAAAZHJzL2Uyb0RvYy54bWysU02P0zAQvSPxHyzfadIsIBQ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" strokecolor="black [3200]" strokeweight=".5pt">
                <v:stroke joinstyle="miter"/>
              </v:line>
            </w:pict>
          </mc:Fallback>
        </mc:AlternateContent>
      </w:r>
    </w:p>
    <w:p w:rsidR="000933C2" w:rsidRDefault="000933C2" w:rsidP="000933C2">
      <w:pPr>
        <w:pStyle w:val="NoSpacing"/>
        <w:jc w:val="center"/>
      </w:pPr>
    </w:p>
    <w:p w:rsidR="000933C2" w:rsidRPr="000933C2" w:rsidRDefault="000933C2" w:rsidP="000933C2">
      <w:pPr>
        <w:pStyle w:val="NoSpacing"/>
        <w:jc w:val="center"/>
      </w:pPr>
      <w:r>
        <w:t>Kính gửi: UBND tỉnh.</w:t>
      </w:r>
    </w:p>
    <w:p w:rsidR="000933C2" w:rsidRPr="00C110C2" w:rsidRDefault="000933C2" w:rsidP="000933C2">
      <w:pPr>
        <w:pStyle w:val="NoSpacing"/>
        <w:ind w:firstLine="720"/>
        <w:jc w:val="both"/>
        <w:rPr>
          <w:sz w:val="27"/>
          <w:szCs w:val="27"/>
        </w:rPr>
      </w:pPr>
      <w:r w:rsidRPr="00C110C2">
        <w:rPr>
          <w:sz w:val="27"/>
          <w:szCs w:val="27"/>
        </w:rPr>
        <w:t>Thực hiện quy định của Luật ban hành văn bản quy phạm pháp luậ</w:t>
      </w:r>
      <w:r w:rsidR="00C110C2">
        <w:rPr>
          <w:sz w:val="27"/>
          <w:szCs w:val="27"/>
        </w:rPr>
        <w:t>t, Sở Giáo dục và Đào tạo đã tiến hành đánh giá thực trạng của quan hệ xã hội có liên quan đến dự thảo Quyết định quy định về dạy thêm, học thêm trên địa bàn tỉnh Tây Ninh. Kết quả như sau:</w:t>
      </w:r>
    </w:p>
    <w:p w:rsidR="000933C2" w:rsidRPr="000933C2" w:rsidRDefault="000933C2" w:rsidP="000933C2">
      <w:pPr>
        <w:pStyle w:val="NoSpacing"/>
        <w:ind w:firstLine="720"/>
        <w:jc w:val="both"/>
        <w:rPr>
          <w:b/>
          <w:sz w:val="27"/>
          <w:szCs w:val="27"/>
        </w:rPr>
      </w:pPr>
      <w:r w:rsidRPr="000933C2">
        <w:rPr>
          <w:b/>
          <w:sz w:val="27"/>
          <w:szCs w:val="27"/>
        </w:rPr>
        <w:t>I. BỐI CẢNH THỰC HIỆN ĐÁNH GIÁ</w:t>
      </w:r>
    </w:p>
    <w:p w:rsidR="000933C2" w:rsidRPr="000933C2" w:rsidRDefault="000933C2" w:rsidP="000933C2">
      <w:pPr>
        <w:pStyle w:val="NoSpacing"/>
        <w:ind w:firstLine="720"/>
        <w:jc w:val="both"/>
      </w:pPr>
      <w:r w:rsidRPr="000933C2">
        <w:t>1. Bối cảnh trong nước</w:t>
      </w:r>
    </w:p>
    <w:p w:rsidR="000933C2" w:rsidRPr="000933C2" w:rsidRDefault="000933C2" w:rsidP="000933C2">
      <w:pPr>
        <w:pStyle w:val="NoSpacing"/>
        <w:ind w:firstLine="720"/>
        <w:jc w:val="both"/>
      </w:pPr>
      <w:r w:rsidRPr="000933C2">
        <w:t>Hoạt động dạy thêm, học thêm là một quan hệ xã hội phát sinh từ nhu cầu thực tế của xã hội, nhằm củng cố, nâng cao kiến thức, kỹ năng cho học sinh. Tuy nhiên, trong thời gian dài, hoạt động này đã bộc lộ nhiều bất cập, có nơi bị biến tướng, thương mại hóa, gây áp lực cho học sinh, bức xúc trong dư luận và khó khăn cho công tác quản lý.</w:t>
      </w:r>
    </w:p>
    <w:p w:rsidR="000933C2" w:rsidRPr="000933C2" w:rsidRDefault="000933C2" w:rsidP="000933C2">
      <w:pPr>
        <w:pStyle w:val="NoSpacing"/>
        <w:ind w:firstLine="720"/>
        <w:jc w:val="both"/>
      </w:pPr>
      <w:r w:rsidRPr="000933C2">
        <w:t>Để chấn chỉnh và thống nhất quản lý hoạt động này, Bộ Giáo dục và Đào tạo (BGDĐT) đã ban hành các văn bản quy phạm pháp luậ</w:t>
      </w:r>
      <w:r w:rsidR="0015545C">
        <w:t>t</w:t>
      </w:r>
      <w:r w:rsidRPr="000933C2">
        <w:t>, đặc biệt là Thông tư số 29/2024/TT-BGDĐT ngày 30/12/2024 quy định về dạy thêm, học thêm</w:t>
      </w:r>
      <w:r w:rsidR="008D3F0D">
        <w:t>,</w:t>
      </w:r>
      <w:r w:rsidRPr="000933C2">
        <w:t xml:space="preserve"> Thông tư số 10/2025/TT-BGDĐT ngày 12/6/2025 quy định về phân cấp quản lý nhà nước đối với giáo dục phổ thông</w:t>
      </w:r>
      <w:r w:rsidR="008D3F0D">
        <w:t xml:space="preserve"> và </w:t>
      </w:r>
      <w:r w:rsidR="008D3F0D" w:rsidRPr="008D3F0D">
        <w:rPr>
          <w:iCs/>
        </w:rPr>
        <w:t>Thông tư số 19/2026/TT-BGDĐT ngày 31/03/2026 sửa đổi, bổ sung một số điều của Thông tư số 29/2024/TT-BGDĐT ngày 30/12/2024</w:t>
      </w:r>
      <w:r w:rsidRPr="000933C2">
        <w:t>.</w:t>
      </w:r>
    </w:p>
    <w:p w:rsidR="000933C2" w:rsidRPr="000933C2" w:rsidRDefault="000933C2" w:rsidP="000933C2">
      <w:pPr>
        <w:pStyle w:val="NoSpacing"/>
        <w:ind w:firstLine="720"/>
        <w:jc w:val="both"/>
      </w:pPr>
      <w:r w:rsidRPr="000933C2">
        <w:t>Các văn bản này của Bộ BGDĐT đặt ra yêu cầu bắt buộc cho các địa phương phải rà soát, điều chỉnh hoặc ban hành các quy định cấp tỉnh để đảm bảo tính đồng bộ, thống nhất của hệ thống pháp luật và phù hợp với tình hình thực tiễn tại địa phương.</w:t>
      </w:r>
    </w:p>
    <w:p w:rsidR="000933C2" w:rsidRPr="000933C2" w:rsidRDefault="000933C2" w:rsidP="000933C2">
      <w:pPr>
        <w:pStyle w:val="NoSpacing"/>
        <w:ind w:firstLine="720"/>
        <w:jc w:val="both"/>
      </w:pPr>
      <w:r w:rsidRPr="000933C2">
        <w:t>2. Các chủ trương, đường lối của Đảng, chính sách của Nhà nước liên quan đến quan hệ xã hội</w:t>
      </w:r>
    </w:p>
    <w:p w:rsidR="00BF1547" w:rsidRDefault="00BF1547" w:rsidP="000933C2">
      <w:pPr>
        <w:pStyle w:val="NoSpacing"/>
        <w:ind w:firstLine="720"/>
        <w:jc w:val="both"/>
      </w:pPr>
      <w:r>
        <w:t>Nghị quyết số 29-NQ/TW ngày 04/11/2013 của Ban Chấp hành Trung ương Đảng (khóa XI) về "Đổi mới căn bản, toàn diện giáo dục và đào tạo" đã nhấn mạnh việc chuyển mạnh quá trình giáo dục từ chủ yếu trang bị kiến thức sang phát triển toàn diện năng lực và phẩm chất người học; giảm tải, giảm áp lực học tập cho học sinh.</w:t>
      </w:r>
    </w:p>
    <w:p w:rsidR="00A8059E" w:rsidRDefault="00A8059E" w:rsidP="000933C2">
      <w:pPr>
        <w:pStyle w:val="NoSpacing"/>
        <w:ind w:firstLine="720"/>
        <w:jc w:val="both"/>
      </w:pPr>
      <w:r>
        <w:t xml:space="preserve">Nghị quyết số 71-NQ/TW ngày </w:t>
      </w:r>
      <w:r w:rsidR="00B06DE1">
        <w:t>22</w:t>
      </w:r>
      <w:r>
        <w:t>/</w:t>
      </w:r>
      <w:r w:rsidR="00B06DE1">
        <w:t>8</w:t>
      </w:r>
      <w:r>
        <w:t>/</w:t>
      </w:r>
      <w:r w:rsidR="00B06DE1">
        <w:t>2025</w:t>
      </w:r>
      <w:r>
        <w:t xml:space="preserve"> cũng đã nêu “Thực hiện phương châm “Thầy ra thầy, trò ra trò” trên các mặt đạo đức, nhân cách tri thức; kiên quyết chấn chỉnh tiêu cực trong giáo dục, coi trọng danh dự người thầy, tôn vinh người thầy trong xã hội”</w:t>
      </w:r>
    </w:p>
    <w:p w:rsidR="000933C2" w:rsidRPr="000933C2" w:rsidRDefault="000933C2" w:rsidP="000933C2">
      <w:pPr>
        <w:pStyle w:val="NoSpacing"/>
        <w:ind w:firstLine="720"/>
        <w:jc w:val="both"/>
      </w:pPr>
      <w:r w:rsidRPr="000933C2">
        <w:lastRenderedPageBreak/>
        <w:t>Chủ trương nhất quán của Đảng và Nhà nước là phát triển giáo dục và đào tạo, nâng cao chất lượng giáo dục toàn diện, đồng thời tăng cường quản lý nhà nước, chống tiêu cực và bệnh thành tích trong giáo dục.</w:t>
      </w:r>
    </w:p>
    <w:p w:rsidR="000933C2" w:rsidRPr="000933C2" w:rsidRDefault="000933C2" w:rsidP="000933C2">
      <w:pPr>
        <w:pStyle w:val="NoSpacing"/>
        <w:ind w:firstLine="720"/>
        <w:jc w:val="both"/>
      </w:pPr>
      <w:r w:rsidRPr="000933C2">
        <w:t>Chính sách của Nhà nước, thể hiện qua các Nghị định của Chính phủ và các Thông tư của Bộ</w:t>
      </w:r>
      <w:r w:rsidR="004C1FD6">
        <w:t xml:space="preserve"> BGDĐT</w:t>
      </w:r>
      <w:r w:rsidRPr="000933C2">
        <w:t>, là trao quyền tự chủ, tự chịu trách nhiệm cho địa phương và cơ sở giáo dục, đồng thời tăng cường phân cấp quản lý. Cụ thể, Nhà nước quy định các nguyên tắc chung, các trường hợp cấm dạy thêm, học thêm, và giao thẩm quyền cho Ủy ban nhân dân (UBND) cấp tỉnh quy định chi tiết về quản lý, thanh tra, kiểm tra và phân định rõ trách nhiệm của các cấp chính quyền địa phương (cấp tỉ</w:t>
      </w:r>
      <w:r w:rsidR="004C1FD6">
        <w:t xml:space="preserve">nh, </w:t>
      </w:r>
      <w:r w:rsidRPr="000933C2">
        <w:t>cấp xã) và các cơ sở giáo dục trên địa bàn.</w:t>
      </w:r>
    </w:p>
    <w:p w:rsidR="000933C2" w:rsidRPr="000933C2" w:rsidRDefault="000933C2" w:rsidP="000933C2">
      <w:pPr>
        <w:pStyle w:val="NoSpacing"/>
        <w:ind w:firstLine="720"/>
        <w:jc w:val="both"/>
        <w:rPr>
          <w:b/>
          <w:sz w:val="27"/>
          <w:szCs w:val="27"/>
        </w:rPr>
      </w:pPr>
      <w:r w:rsidRPr="000933C2">
        <w:rPr>
          <w:b/>
          <w:sz w:val="27"/>
          <w:szCs w:val="27"/>
        </w:rPr>
        <w:t>II. THỰC TRẠNG QUAN HỆ XÃ HỘI</w:t>
      </w:r>
    </w:p>
    <w:p w:rsidR="000933C2" w:rsidRPr="000933C2" w:rsidRDefault="000933C2" w:rsidP="000933C2">
      <w:pPr>
        <w:pStyle w:val="NoSpacing"/>
        <w:ind w:firstLine="720"/>
        <w:jc w:val="both"/>
      </w:pPr>
      <w:r w:rsidRPr="000933C2">
        <w:t>1. Quan hệ xã hội chưa có pháp luật điều chỉnh liên quan đến dự thảo</w:t>
      </w:r>
    </w:p>
    <w:p w:rsidR="000933C2" w:rsidRPr="000933C2" w:rsidRDefault="000933C2" w:rsidP="000933C2">
      <w:pPr>
        <w:pStyle w:val="NoSpacing"/>
        <w:ind w:firstLine="720"/>
        <w:jc w:val="both"/>
      </w:pPr>
      <w:r w:rsidRPr="000933C2">
        <w:t>Bản thân quan hệ xã hội về "dạy thêm, học thêm" không phải là chưa có pháp luật điều chỉnh, vì Bộ BGDĐT đã ban hành Thông tư 29/2024/TT-BGDĐT</w:t>
      </w:r>
      <w:r w:rsidR="008D3F0D">
        <w:t xml:space="preserve"> và </w:t>
      </w:r>
      <w:r w:rsidR="008D3F0D" w:rsidRPr="008D3F0D">
        <w:rPr>
          <w:iCs/>
        </w:rPr>
        <w:t>Thông tư số 19/2026/TT-BGDĐT</w:t>
      </w:r>
      <w:r w:rsidR="008D3F0D">
        <w:rPr>
          <w:iCs/>
        </w:rPr>
        <w:t>,</w:t>
      </w:r>
      <w:r w:rsidRPr="000933C2">
        <w:t xml:space="preserve"> </w:t>
      </w:r>
      <w:r w:rsidR="008D3F0D">
        <w:t>t</w:t>
      </w:r>
      <w:r w:rsidRPr="000933C2">
        <w:t>uy nhiên, "khoảng trống pháp lý" hiện nay nằm ở cấp độ tỉnh Tây Ninh. Cụ thể:</w:t>
      </w:r>
    </w:p>
    <w:p w:rsidR="000933C2" w:rsidRPr="000933C2" w:rsidRDefault="004C1FD6" w:rsidP="004C1FD6">
      <w:pPr>
        <w:pStyle w:val="NoSpacing"/>
        <w:ind w:firstLine="720"/>
        <w:jc w:val="both"/>
      </w:pPr>
      <w:r>
        <w:t xml:space="preserve">- </w:t>
      </w:r>
      <w:r w:rsidR="000933C2" w:rsidRPr="000933C2">
        <w:t xml:space="preserve">Quan hệ về phân định thẩm quyền quản lý: </w:t>
      </w:r>
      <w:r w:rsidR="00BF1547" w:rsidRPr="009671A1">
        <w:rPr>
          <w:rFonts w:eastAsia="Calibri" w:cs="Times New Roman"/>
          <w:szCs w:val="28"/>
        </w:rPr>
        <w:t>Sau khi sáp nhập, tỉnh Tây Ninh cần có một văn bản quy phạm pháp luật thống nhất để quản lý hoạt động dạy thêm, học thêm trên toàn địa bàn. Trước đây, tỉnh Long An (cũ) đã có Quyết định số 23/2025/QĐ-UBND ngày 17/3/2025 về vấn đề này, trong khi tỉnh Tây Ninh (cũ) chưa ban hành văn bản tương ứng</w:t>
      </w:r>
      <w:r w:rsidR="000933C2" w:rsidRPr="000933C2">
        <w:t>.</w:t>
      </w:r>
    </w:p>
    <w:p w:rsidR="000933C2" w:rsidRPr="000933C2" w:rsidRDefault="004C1FD6" w:rsidP="000933C2">
      <w:pPr>
        <w:pStyle w:val="NoSpacing"/>
        <w:ind w:firstLine="720"/>
        <w:jc w:val="both"/>
      </w:pPr>
      <w:r>
        <w:t xml:space="preserve">- </w:t>
      </w:r>
      <w:r w:rsidR="000933C2" w:rsidRPr="000933C2">
        <w:t xml:space="preserve">Quan hệ về phối hợp quản lý và xử lý vi phạm: Thực tiễn cho thấy việc phối hợp giữa các cơ quan nhà nước (Sở GDĐT, UBND cấp xã) và trách nhiệm của người đứng đầu cơ sở giáo dục trong việc quản lý, </w:t>
      </w:r>
      <w:r w:rsidR="00BF1547">
        <w:t>kiểm</w:t>
      </w:r>
      <w:r w:rsidR="000933C2" w:rsidRPr="000933C2">
        <w:t xml:space="preserve"> tra, xử lý vi phạm dạy thêm ngoài nhà trường chưa được quy đị</w:t>
      </w:r>
      <w:r w:rsidR="00A8059E">
        <w:t>nh rõ ràng</w:t>
      </w:r>
      <w:r w:rsidR="000933C2" w:rsidRPr="000933C2">
        <w:t>.</w:t>
      </w:r>
    </w:p>
    <w:p w:rsidR="000933C2" w:rsidRPr="000933C2" w:rsidRDefault="000933C2" w:rsidP="000933C2">
      <w:pPr>
        <w:pStyle w:val="NoSpacing"/>
        <w:ind w:firstLine="720"/>
        <w:jc w:val="both"/>
      </w:pPr>
      <w:r w:rsidRPr="000933C2">
        <w:t>Nguyên nhân: Nguyên nhân khách quan của việc "chưa có pháp luật điều chỉnh" (ở cấp độ tỉnh) là do các văn bản pháp lý cấp Trung ương (Thông tư của Bộ) vừa được ban hành</w:t>
      </w:r>
      <w:r w:rsidR="00153B64">
        <w:t xml:space="preserve"> cuối tháng 3 năm 2026</w:t>
      </w:r>
      <w:bookmarkStart w:id="0" w:name="_GoBack"/>
      <w:bookmarkEnd w:id="0"/>
      <w:r w:rsidRPr="000933C2">
        <w:t>, đòi hỏi địa phương phải có thời gian để xây dựng văn bản thay thế.</w:t>
      </w:r>
    </w:p>
    <w:p w:rsidR="000933C2" w:rsidRPr="000933C2" w:rsidRDefault="000933C2" w:rsidP="000933C2">
      <w:pPr>
        <w:pStyle w:val="NoSpacing"/>
        <w:ind w:firstLine="720"/>
        <w:jc w:val="both"/>
      </w:pPr>
      <w:r w:rsidRPr="000933C2">
        <w:t>2. Lý do cần có quy định của pháp luật để điều chỉnh quan hệ xã hội</w:t>
      </w:r>
    </w:p>
    <w:p w:rsidR="000933C2" w:rsidRPr="000933C2" w:rsidRDefault="000933C2" w:rsidP="000933C2">
      <w:pPr>
        <w:pStyle w:val="NoSpacing"/>
        <w:ind w:firstLine="720"/>
        <w:jc w:val="both"/>
      </w:pPr>
      <w:r w:rsidRPr="000933C2">
        <w:t>Việc ban hành Quyết định của UBND tỉnh Tây Ninh là cấp thiết và bắt buộc vì các lý do sau:</w:t>
      </w:r>
    </w:p>
    <w:p w:rsidR="000933C2" w:rsidRPr="000933C2" w:rsidRDefault="000933C2" w:rsidP="000933C2">
      <w:pPr>
        <w:pStyle w:val="NoSpacing"/>
        <w:ind w:firstLine="720"/>
        <w:jc w:val="both"/>
      </w:pPr>
      <w:r>
        <w:t xml:space="preserve">- </w:t>
      </w:r>
      <w:r w:rsidRPr="000933C2">
        <w:t>Đảm bảo tính hợp hiến, hợp pháp và thống nhất: Quyết định này được ban hành để cụ thể hóa và tổ chức thực hiện các quy định tại Thông tư số 29/2024/TT-BGDĐT</w:t>
      </w:r>
      <w:r w:rsidR="008D3F0D">
        <w:t>,</w:t>
      </w:r>
      <w:r w:rsidRPr="000933C2">
        <w:t xml:space="preserve"> Thông tư số</w:t>
      </w:r>
      <w:r w:rsidR="004C1FD6">
        <w:t xml:space="preserve"> 10/2025/TT-BGDĐT</w:t>
      </w:r>
      <w:r w:rsidR="008D3F0D">
        <w:t xml:space="preserve"> và </w:t>
      </w:r>
      <w:r w:rsidR="008D3F0D" w:rsidRPr="008D3F0D">
        <w:rPr>
          <w:iCs/>
        </w:rPr>
        <w:t>Thông tư số 19/2026/TT-BGDĐT</w:t>
      </w:r>
      <w:r w:rsidRPr="000933C2">
        <w:t xml:space="preserve"> đảm bảo hệ thống văn bản pháp luật của tỉnh phù hợp, đồng bộ với quy định của Trung ương.</w:t>
      </w:r>
    </w:p>
    <w:p w:rsidR="000933C2" w:rsidRPr="000933C2" w:rsidRDefault="000933C2" w:rsidP="000933C2">
      <w:pPr>
        <w:pStyle w:val="NoSpacing"/>
        <w:ind w:firstLine="720"/>
        <w:jc w:val="both"/>
      </w:pPr>
      <w:r>
        <w:t xml:space="preserve">- </w:t>
      </w:r>
      <w:r w:rsidRPr="000933C2">
        <w:t>Phân định rõ trách nhiệm quản lý (Phân cấp): Nhu cầu thực tiễn đòi hỏi phải phân định rõ ràng. Dự thảo Quyết định đã giải quyết vấn đề này bằng cách quy định cụ thể trách nhiệm của Sở Giáo dục và Đào tạo, Sở Tài chính (về</w:t>
      </w:r>
      <w:r>
        <w:t xml:space="preserve"> kinh phí)</w:t>
      </w:r>
      <w:r w:rsidRPr="000933C2">
        <w:t>, và đặc biệt là UBND các xã, phường (UBND cấ</w:t>
      </w:r>
      <w:r>
        <w:t>p xã)</w:t>
      </w:r>
      <w:r w:rsidRPr="000933C2">
        <w:t>. Điều này khắc phục tình trạng đùn đẩy, né tránh hoặc chồng chéo trách nhiệm trong quản lý.</w:t>
      </w:r>
    </w:p>
    <w:p w:rsidR="000933C2" w:rsidRPr="000933C2" w:rsidRDefault="00A8059E" w:rsidP="000933C2">
      <w:pPr>
        <w:pStyle w:val="NoSpacing"/>
        <w:ind w:firstLine="720"/>
        <w:jc w:val="both"/>
      </w:pPr>
      <w:r>
        <w:t xml:space="preserve">- </w:t>
      </w:r>
      <w:r w:rsidR="000933C2" w:rsidRPr="000933C2">
        <w:t>Tăng cường hiệu lực, hiệu quả quản lý nhà nước: Quyết định tạo cơ sở pháp lý rõ ràng cho công tác kiể</w:t>
      </w:r>
      <w:r w:rsidR="000933C2">
        <w:t>m tra</w:t>
      </w:r>
      <w:r w:rsidR="000933C2" w:rsidRPr="000933C2">
        <w:t xml:space="preserve"> và xử lý vi phạ</w:t>
      </w:r>
      <w:r w:rsidR="000933C2">
        <w:t>m.</w:t>
      </w:r>
      <w:r w:rsidR="000933C2" w:rsidRPr="000933C2">
        <w:t xml:space="preserve"> Đây là công cụ pháp lý trực tiếp </w:t>
      </w:r>
      <w:r w:rsidR="000933C2" w:rsidRPr="000933C2">
        <w:lastRenderedPageBreak/>
        <w:t>để chấn chỉnh các hoạt động dạy thêm, học thêm tự phát, không đúng quy định đang diễn ra trên địa bàn.</w:t>
      </w:r>
    </w:p>
    <w:p w:rsidR="000933C2" w:rsidRPr="000933C2" w:rsidRDefault="00A8059E" w:rsidP="000933C2">
      <w:pPr>
        <w:pStyle w:val="NoSpacing"/>
        <w:ind w:firstLine="720"/>
        <w:jc w:val="both"/>
      </w:pPr>
      <w:r>
        <w:t xml:space="preserve">- </w:t>
      </w:r>
      <w:r w:rsidR="000933C2" w:rsidRPr="000933C2">
        <w:t>Minh bạch hóa hoạt động và trách nhiệm: Dự thảo quy định rõ trách nhiệm của Hiệu trưở</w:t>
      </w:r>
      <w:r w:rsidR="000933C2">
        <w:t>ng</w:t>
      </w:r>
      <w:r w:rsidR="000933C2" w:rsidRPr="000933C2">
        <w:t xml:space="preserve"> và các cơ sở dạ</w:t>
      </w:r>
      <w:r w:rsidR="000933C2">
        <w:t>y thêm</w:t>
      </w:r>
      <w:r w:rsidR="000933C2" w:rsidRPr="000933C2">
        <w:t>, đồng thời yêu cầu công khai thông tin tiếp nhận phả</w:t>
      </w:r>
      <w:r w:rsidR="000933C2">
        <w:t>n ánh</w:t>
      </w:r>
      <w:r w:rsidR="000933C2" w:rsidRPr="000933C2">
        <w:t>, giúp xã hội và người dân dễ dàng giám sát.</w:t>
      </w:r>
    </w:p>
    <w:p w:rsidR="000933C2" w:rsidRPr="000933C2" w:rsidRDefault="000933C2" w:rsidP="000933C2">
      <w:pPr>
        <w:pStyle w:val="NoSpacing"/>
        <w:ind w:firstLine="720"/>
        <w:jc w:val="both"/>
      </w:pPr>
      <w:r w:rsidRPr="000933C2">
        <w:t>3. Thẩm quyền ban hành các quy định của pháp luật để điều chỉnh quan hệ xã hội</w:t>
      </w:r>
    </w:p>
    <w:p w:rsidR="000933C2" w:rsidRPr="000933C2" w:rsidRDefault="000933C2" w:rsidP="000933C2">
      <w:pPr>
        <w:pStyle w:val="NoSpacing"/>
        <w:ind w:firstLine="720"/>
        <w:jc w:val="both"/>
      </w:pPr>
      <w:r w:rsidRPr="000933C2">
        <w:t>Thẩm quyền ban hành Quyết định này thuộc về Ủy ban nhân dân tỉnh Tây Ninh.</w:t>
      </w:r>
    </w:p>
    <w:p w:rsidR="000933C2" w:rsidRPr="000933C2" w:rsidRDefault="000933C2" w:rsidP="000933C2">
      <w:pPr>
        <w:pStyle w:val="NoSpacing"/>
        <w:ind w:firstLine="720"/>
        <w:jc w:val="both"/>
      </w:pPr>
      <w:r w:rsidRPr="000933C2">
        <w:t>Căn cứ pháp lý cho thẩm quyền này được nêu rõ trong dự thảo:</w:t>
      </w:r>
    </w:p>
    <w:p w:rsidR="000933C2" w:rsidRPr="000933C2" w:rsidRDefault="000933C2" w:rsidP="000933C2">
      <w:pPr>
        <w:pStyle w:val="NoSpacing"/>
        <w:ind w:firstLine="720"/>
        <w:jc w:val="both"/>
      </w:pPr>
      <w:r>
        <w:t xml:space="preserve">- </w:t>
      </w:r>
      <w:r w:rsidRPr="000933C2">
        <w:t>Luật Tổ chức chính quyền địa phương: Quy định UBND tỉnh có nhiệm vụ, quyền hạn ban hành "Quyết định" để quy định chi tiết các vấn đề được luật, nghị định giao hoặc để thực hiện quản lý nhà nước tại địa phương.</w:t>
      </w:r>
    </w:p>
    <w:p w:rsidR="000933C2" w:rsidRPr="000933C2" w:rsidRDefault="000933C2" w:rsidP="000933C2">
      <w:pPr>
        <w:pStyle w:val="NoSpacing"/>
        <w:ind w:firstLine="720"/>
        <w:jc w:val="both"/>
      </w:pPr>
      <w:r>
        <w:t xml:space="preserve">- </w:t>
      </w:r>
      <w:r w:rsidRPr="000933C2">
        <w:t>Nghị định số 142/2025/NĐ-CP</w:t>
      </w:r>
      <w:r w:rsidR="00A8059E">
        <w:t xml:space="preserve">, Thông tư số </w:t>
      </w:r>
      <w:r w:rsidR="00A8059E" w:rsidRPr="000933C2">
        <w:t>29/2024/TT-BGDĐT</w:t>
      </w:r>
      <w:r w:rsidR="008D3F0D">
        <w:t>,</w:t>
      </w:r>
      <w:r w:rsidRPr="000933C2">
        <w:t xml:space="preserve"> Thông tư số 10/2025/TT-BGDĐT</w:t>
      </w:r>
      <w:r w:rsidR="008D3F0D">
        <w:t xml:space="preserve"> và </w:t>
      </w:r>
      <w:r w:rsidR="008D3F0D" w:rsidRPr="008D3F0D">
        <w:rPr>
          <w:iCs/>
        </w:rPr>
        <w:t>Thông tư số 19/2026/TT-BGDĐT</w:t>
      </w:r>
      <w:r w:rsidRPr="000933C2">
        <w:t xml:space="preserve">: Đây là các văn bản của </w:t>
      </w:r>
      <w:r w:rsidR="007F7A48">
        <w:t>Chính phủ</w:t>
      </w:r>
      <w:r w:rsidRPr="000933C2">
        <w:t xml:space="preserve"> trực tiếp quy định về việc "phân định thẩm quyền" và "phân cấp" cho chính quyền địa phương (cụ thể là UBND tỉnh) trong việc tổ chức, quản lý hoạt động giáo dục, bao gồm cả dạy thêm, học thêm.</w:t>
      </w:r>
    </w:p>
    <w:p w:rsidR="000933C2" w:rsidRDefault="000933C2" w:rsidP="000933C2">
      <w:pPr>
        <w:pStyle w:val="NoSpacing"/>
        <w:ind w:firstLine="720"/>
        <w:jc w:val="both"/>
      </w:pPr>
      <w:r w:rsidRPr="000933C2">
        <w:t>Do đó, việc UBND tỉnh Tây Ninh ban hành Quyết định này là hoàn toàn đúng thẩm quyền.</w:t>
      </w:r>
      <w:r w:rsidR="0028474E">
        <w:t>/.</w:t>
      </w:r>
    </w:p>
    <w:p w:rsidR="0028474E" w:rsidRPr="000933C2" w:rsidRDefault="0028474E" w:rsidP="000933C2">
      <w:pPr>
        <w:pStyle w:val="NoSpacing"/>
        <w:ind w:firstLine="720"/>
        <w:jc w:val="both"/>
      </w:pPr>
    </w:p>
    <w:tbl>
      <w:tblPr>
        <w:tblW w:w="9464" w:type="dxa"/>
        <w:tblLayout w:type="fixed"/>
        <w:tblLook w:val="04A0" w:firstRow="1" w:lastRow="0" w:firstColumn="1" w:lastColumn="0" w:noHBand="0" w:noVBand="1"/>
      </w:tblPr>
      <w:tblGrid>
        <w:gridCol w:w="4970"/>
        <w:gridCol w:w="4494"/>
      </w:tblGrid>
      <w:tr w:rsidR="0028474E">
        <w:tc>
          <w:tcPr>
            <w:tcW w:w="4970" w:type="dxa"/>
          </w:tcPr>
          <w:p w:rsidR="0028474E" w:rsidRDefault="0028474E" w:rsidP="0028474E">
            <w:pPr>
              <w:spacing w:after="0"/>
              <w:rPr>
                <w:b/>
                <w:i/>
                <w:sz w:val="26"/>
                <w:szCs w:val="26"/>
              </w:rPr>
            </w:pPr>
            <w:r w:rsidRPr="0028474E">
              <w:rPr>
                <w:b/>
                <w:i/>
                <w:sz w:val="24"/>
              </w:rPr>
              <w:t>Nơi nhận:</w:t>
            </w:r>
          </w:p>
        </w:tc>
        <w:tc>
          <w:tcPr>
            <w:tcW w:w="4494" w:type="dxa"/>
            <w:vMerge w:val="restart"/>
          </w:tcPr>
          <w:p w:rsidR="0028474E" w:rsidRDefault="0028474E" w:rsidP="0028474E">
            <w:pPr>
              <w:spacing w:after="0"/>
              <w:jc w:val="center"/>
              <w:rPr>
                <w:b/>
              </w:rPr>
            </w:pPr>
            <w:r>
              <w:rPr>
                <w:b/>
              </w:rPr>
              <w:t>KT. GIÁM ĐỐC</w:t>
            </w:r>
          </w:p>
          <w:p w:rsidR="0028474E" w:rsidRDefault="0028474E" w:rsidP="0028474E">
            <w:pPr>
              <w:spacing w:after="0"/>
              <w:jc w:val="center"/>
              <w:rPr>
                <w:b/>
                <w:spacing w:val="6"/>
                <w:sz w:val="26"/>
                <w:szCs w:val="26"/>
              </w:rPr>
            </w:pPr>
            <w:r>
              <w:rPr>
                <w:b/>
              </w:rPr>
              <w:t>PHÓ GIÁM ĐỐC</w:t>
            </w:r>
          </w:p>
          <w:p w:rsidR="0028474E" w:rsidRDefault="0028474E" w:rsidP="0028474E">
            <w:pPr>
              <w:tabs>
                <w:tab w:val="center" w:pos="2193"/>
              </w:tabs>
              <w:spacing w:after="0"/>
              <w:ind w:right="-108"/>
              <w:jc w:val="center"/>
              <w:rPr>
                <w:b/>
              </w:rPr>
            </w:pPr>
          </w:p>
          <w:p w:rsidR="0028474E" w:rsidRDefault="0028474E" w:rsidP="0028474E">
            <w:pPr>
              <w:spacing w:after="0"/>
              <w:ind w:right="-108"/>
              <w:jc w:val="center"/>
              <w:rPr>
                <w:sz w:val="22"/>
              </w:rPr>
            </w:pPr>
          </w:p>
          <w:p w:rsidR="0028474E" w:rsidRDefault="0028474E" w:rsidP="0028474E">
            <w:pPr>
              <w:spacing w:after="0"/>
              <w:ind w:right="-108"/>
              <w:jc w:val="center"/>
              <w:rPr>
                <w:sz w:val="22"/>
              </w:rPr>
            </w:pPr>
          </w:p>
          <w:p w:rsidR="0028474E" w:rsidRDefault="0028474E" w:rsidP="0028474E">
            <w:pPr>
              <w:spacing w:after="0"/>
              <w:ind w:right="-108"/>
              <w:jc w:val="center"/>
              <w:rPr>
                <w:sz w:val="22"/>
              </w:rPr>
            </w:pPr>
          </w:p>
          <w:p w:rsidR="0028474E" w:rsidRDefault="0028474E" w:rsidP="0028474E">
            <w:pPr>
              <w:spacing w:after="0"/>
              <w:ind w:right="-108"/>
              <w:jc w:val="center"/>
              <w:rPr>
                <w:sz w:val="22"/>
              </w:rPr>
            </w:pPr>
          </w:p>
          <w:p w:rsidR="0028474E" w:rsidRDefault="008D3F0D" w:rsidP="0028474E">
            <w:pPr>
              <w:tabs>
                <w:tab w:val="left" w:pos="1140"/>
                <w:tab w:val="left" w:pos="1673"/>
              </w:tabs>
              <w:spacing w:after="0"/>
              <w:ind w:right="-108"/>
              <w:jc w:val="center"/>
              <w:rPr>
                <w:b/>
                <w:szCs w:val="28"/>
              </w:rPr>
            </w:pPr>
            <w:r>
              <w:rPr>
                <w:b/>
                <w:szCs w:val="28"/>
              </w:rPr>
              <w:t>Phan Thị Dạ Thảo</w:t>
            </w:r>
          </w:p>
        </w:tc>
      </w:tr>
      <w:tr w:rsidR="0028474E">
        <w:tc>
          <w:tcPr>
            <w:tcW w:w="4970" w:type="dxa"/>
          </w:tcPr>
          <w:p w:rsidR="0028474E" w:rsidRDefault="0028474E" w:rsidP="0028474E">
            <w:pPr>
              <w:spacing w:after="0"/>
              <w:rPr>
                <w:sz w:val="22"/>
              </w:rPr>
            </w:pPr>
            <w:r>
              <w:rPr>
                <w:sz w:val="22"/>
              </w:rPr>
              <w:t>- Như trên;</w:t>
            </w:r>
          </w:p>
          <w:p w:rsidR="0028474E" w:rsidRDefault="0028474E" w:rsidP="0028474E">
            <w:pPr>
              <w:spacing w:after="0"/>
              <w:rPr>
                <w:sz w:val="22"/>
              </w:rPr>
            </w:pPr>
            <w:r>
              <w:rPr>
                <w:sz w:val="22"/>
              </w:rPr>
              <w:t>- GĐ, các PGĐ;</w:t>
            </w:r>
          </w:p>
          <w:p w:rsidR="0028474E" w:rsidRDefault="0028474E" w:rsidP="0028474E">
            <w:pPr>
              <w:tabs>
                <w:tab w:val="right" w:pos="4754"/>
              </w:tabs>
              <w:spacing w:after="0"/>
              <w:rPr>
                <w:sz w:val="22"/>
              </w:rPr>
            </w:pPr>
            <w:r>
              <w:rPr>
                <w:sz w:val="22"/>
              </w:rPr>
              <w:t>- Lưu: VT, GDPT</w:t>
            </w:r>
            <w:r w:rsidRPr="008D3F0D">
              <w:rPr>
                <w:sz w:val="16"/>
              </w:rPr>
              <w:t>(Đ</w:t>
            </w:r>
            <w:r w:rsidR="008D3F0D" w:rsidRPr="008D3F0D">
              <w:rPr>
                <w:sz w:val="16"/>
              </w:rPr>
              <w:t>ông</w:t>
            </w:r>
            <w:r w:rsidRPr="008D3F0D">
              <w:rPr>
                <w:sz w:val="16"/>
              </w:rPr>
              <w:t>)</w:t>
            </w:r>
            <w:r>
              <w:rPr>
                <w:sz w:val="22"/>
              </w:rPr>
              <w:t>.</w:t>
            </w:r>
            <w:r>
              <w:rPr>
                <w:sz w:val="22"/>
              </w:rPr>
              <w:tab/>
            </w:r>
          </w:p>
          <w:p w:rsidR="0028474E" w:rsidRDefault="0028474E" w:rsidP="0028474E">
            <w:pPr>
              <w:tabs>
                <w:tab w:val="left" w:pos="3278"/>
              </w:tabs>
              <w:spacing w:after="0"/>
              <w:rPr>
                <w:sz w:val="22"/>
              </w:rPr>
            </w:pPr>
            <w:r>
              <w:rPr>
                <w:sz w:val="22"/>
              </w:rPr>
              <w:tab/>
            </w:r>
          </w:p>
        </w:tc>
        <w:tc>
          <w:tcPr>
            <w:tcW w:w="4494" w:type="dxa"/>
            <w:vMerge/>
          </w:tcPr>
          <w:p w:rsidR="0028474E" w:rsidRDefault="0028474E" w:rsidP="0028474E">
            <w:pPr>
              <w:spacing w:after="0"/>
              <w:jc w:val="center"/>
            </w:pPr>
          </w:p>
        </w:tc>
      </w:tr>
    </w:tbl>
    <w:p w:rsidR="000933C2" w:rsidRDefault="000933C2"/>
    <w:sectPr w:rsidR="000933C2" w:rsidSect="00417458">
      <w:headerReference w:type="default" r:id="rId7"/>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E7" w:rsidRDefault="001F01E7" w:rsidP="0028474E">
      <w:pPr>
        <w:spacing w:after="0" w:line="240" w:lineRule="auto"/>
      </w:pPr>
      <w:r>
        <w:separator/>
      </w:r>
    </w:p>
  </w:endnote>
  <w:endnote w:type="continuationSeparator" w:id="0">
    <w:p w:rsidR="001F01E7" w:rsidRDefault="001F01E7" w:rsidP="0028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E7" w:rsidRDefault="001F01E7" w:rsidP="0028474E">
      <w:pPr>
        <w:spacing w:after="0" w:line="240" w:lineRule="auto"/>
      </w:pPr>
      <w:r>
        <w:separator/>
      </w:r>
    </w:p>
  </w:footnote>
  <w:footnote w:type="continuationSeparator" w:id="0">
    <w:p w:rsidR="001F01E7" w:rsidRDefault="001F01E7" w:rsidP="0028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63561"/>
      <w:docPartObj>
        <w:docPartGallery w:val="Page Numbers (Top of Page)"/>
        <w:docPartUnique/>
      </w:docPartObj>
    </w:sdtPr>
    <w:sdtEndPr>
      <w:rPr>
        <w:noProof/>
      </w:rPr>
    </w:sdtEndPr>
    <w:sdtContent>
      <w:p w:rsidR="0028474E" w:rsidRDefault="0028474E">
        <w:pPr>
          <w:pStyle w:val="Header"/>
          <w:jc w:val="center"/>
        </w:pPr>
        <w:r>
          <w:fldChar w:fldCharType="begin"/>
        </w:r>
        <w:r>
          <w:instrText xml:space="preserve"> PAGE   \* MERGEFORMAT </w:instrText>
        </w:r>
        <w:r>
          <w:fldChar w:fldCharType="separate"/>
        </w:r>
        <w:r w:rsidR="00153B64">
          <w:rPr>
            <w:noProof/>
          </w:rPr>
          <w:t>3</w:t>
        </w:r>
        <w:r>
          <w:rPr>
            <w:noProof/>
          </w:rPr>
          <w:fldChar w:fldCharType="end"/>
        </w:r>
      </w:p>
    </w:sdtContent>
  </w:sdt>
  <w:p w:rsidR="0028474E" w:rsidRDefault="002847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A5A"/>
    <w:multiLevelType w:val="multilevel"/>
    <w:tmpl w:val="8AE0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D3303"/>
    <w:multiLevelType w:val="multilevel"/>
    <w:tmpl w:val="931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D5444"/>
    <w:multiLevelType w:val="multilevel"/>
    <w:tmpl w:val="D626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C2"/>
    <w:rsid w:val="000647AB"/>
    <w:rsid w:val="000933C2"/>
    <w:rsid w:val="000A2BAE"/>
    <w:rsid w:val="00153B64"/>
    <w:rsid w:val="0015545C"/>
    <w:rsid w:val="00175E41"/>
    <w:rsid w:val="001F01E7"/>
    <w:rsid w:val="00205530"/>
    <w:rsid w:val="00223281"/>
    <w:rsid w:val="0028474E"/>
    <w:rsid w:val="00417458"/>
    <w:rsid w:val="004C1FD6"/>
    <w:rsid w:val="00546EC9"/>
    <w:rsid w:val="006773A2"/>
    <w:rsid w:val="00723F99"/>
    <w:rsid w:val="007F7A48"/>
    <w:rsid w:val="008D3F0D"/>
    <w:rsid w:val="009B584C"/>
    <w:rsid w:val="00A8059E"/>
    <w:rsid w:val="00B06DE1"/>
    <w:rsid w:val="00BB0D66"/>
    <w:rsid w:val="00BF1547"/>
    <w:rsid w:val="00C110C2"/>
    <w:rsid w:val="00C800A5"/>
    <w:rsid w:val="00D10E09"/>
    <w:rsid w:val="00F70D60"/>
    <w:rsid w:val="00F7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68BE"/>
  <w15:chartTrackingRefBased/>
  <w15:docId w15:val="{0D989257-2EA0-4D0C-9708-C343108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33C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3C2"/>
    <w:rPr>
      <w:rFonts w:eastAsia="Times New Roman" w:cs="Times New Roman"/>
      <w:b/>
      <w:bCs/>
      <w:sz w:val="27"/>
      <w:szCs w:val="27"/>
    </w:rPr>
  </w:style>
  <w:style w:type="paragraph" w:styleId="NormalWeb">
    <w:name w:val="Normal (Web)"/>
    <w:basedOn w:val="Normal"/>
    <w:uiPriority w:val="99"/>
    <w:semiHidden/>
    <w:unhideWhenUsed/>
    <w:rsid w:val="000933C2"/>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0933C2"/>
    <w:pPr>
      <w:spacing w:after="0" w:line="240" w:lineRule="auto"/>
    </w:pPr>
  </w:style>
  <w:style w:type="paragraph" w:styleId="Header">
    <w:name w:val="header"/>
    <w:basedOn w:val="Normal"/>
    <w:link w:val="HeaderChar"/>
    <w:uiPriority w:val="99"/>
    <w:unhideWhenUsed/>
    <w:rsid w:val="00284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74E"/>
  </w:style>
  <w:style w:type="paragraph" w:styleId="Footer">
    <w:name w:val="footer"/>
    <w:basedOn w:val="Normal"/>
    <w:link w:val="FooterChar"/>
    <w:uiPriority w:val="99"/>
    <w:unhideWhenUsed/>
    <w:rsid w:val="00284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74E"/>
  </w:style>
  <w:style w:type="paragraph" w:styleId="BalloonText">
    <w:name w:val="Balloon Text"/>
    <w:basedOn w:val="Normal"/>
    <w:link w:val="BalloonTextChar"/>
    <w:uiPriority w:val="99"/>
    <w:semiHidden/>
    <w:unhideWhenUsed/>
    <w:rsid w:val="00155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2025-11-03T07:32:00Z</cp:lastPrinted>
  <dcterms:created xsi:type="dcterms:W3CDTF">2025-10-31T03:35:00Z</dcterms:created>
  <dcterms:modified xsi:type="dcterms:W3CDTF">2026-04-29T09:03:00Z</dcterms:modified>
</cp:coreProperties>
</file>